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BE2F" w14:textId="621A9E4E" w:rsidR="009E4A7C" w:rsidRPr="009E4A7C" w:rsidRDefault="009E4A7C" w:rsidP="00556810">
      <w:pPr>
        <w:tabs>
          <w:tab w:val="left" w:pos="3674"/>
        </w:tabs>
        <w:rPr>
          <w:rFonts w:ascii="Times New Roman" w:eastAsia="Times New Roman" w:hAnsi="Times New Roman" w:cs="Times New Roman"/>
          <w:lang w:eastAsia="nl-NL"/>
        </w:rPr>
      </w:pPr>
      <w:r w:rsidRPr="009E4A7C">
        <w:rPr>
          <w:rFonts w:ascii="Times New Roman" w:eastAsia="Times New Roman" w:hAnsi="Times New Roman" w:cs="Times New Roman"/>
          <w:lang w:eastAsia="nl-NL"/>
        </w:rPr>
        <w:fldChar w:fldCharType="begin"/>
      </w:r>
      <w:r w:rsidRPr="009E4A7C">
        <w:rPr>
          <w:rFonts w:ascii="Times New Roman" w:eastAsia="Times New Roman" w:hAnsi="Times New Roman" w:cs="Times New Roman"/>
          <w:lang w:eastAsia="nl-NL"/>
        </w:rPr>
        <w:instrText xml:space="preserve"> INCLUDEPICTURE "cid:1214B3B3-B419-4437-AA3B-931A19AD981D@fritz.box" \* MERGEFORMATINET </w:instrText>
      </w:r>
      <w:r w:rsidRPr="009E4A7C">
        <w:rPr>
          <w:rFonts w:ascii="Times New Roman" w:eastAsia="Times New Roman" w:hAnsi="Times New Roman" w:cs="Times New Roman"/>
          <w:lang w:eastAsia="nl-NL"/>
        </w:rPr>
        <w:fldChar w:fldCharType="separate"/>
      </w:r>
      <w:r w:rsidRPr="009E4A7C">
        <w:rPr>
          <w:rFonts w:ascii="Times New Roman" w:eastAsia="Times New Roman" w:hAnsi="Times New Roman" w:cs="Times New Roman"/>
          <w:noProof/>
          <w:lang w:eastAsia="nl-NL"/>
        </w:rPr>
        <mc:AlternateContent>
          <mc:Choice Requires="wps">
            <w:drawing>
              <wp:inline distT="0" distB="0" distL="0" distR="0" wp14:anchorId="6B838100" wp14:editId="0630D798">
                <wp:extent cx="304800" cy="304800"/>
                <wp:effectExtent l="0" t="0" r="0" b="0"/>
                <wp:docPr id="2" name="Rechthoek 2" descr="A-4 template RVU.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84E05" id="Rechthoek 2" o:spid="_x0000_s1026" alt="A-4 template RVU.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" filled="f" stroked="f">
                <o:lock v:ext="edit" aspectratio="t"/>
                <w10:anchorlock/>
              </v:rect>
            </w:pict>
          </mc:Fallback>
        </mc:AlternateContent>
      </w:r>
      <w:r w:rsidRPr="009E4A7C">
        <w:rPr>
          <w:rFonts w:ascii="Times New Roman" w:eastAsia="Times New Roman" w:hAnsi="Times New Roman" w:cs="Times New Roman"/>
          <w:lang w:eastAsia="nl-NL"/>
        </w:rPr>
        <w:fldChar w:fldCharType="end"/>
      </w:r>
      <w:r w:rsidR="00556810">
        <w:rPr>
          <w:rFonts w:ascii="Times New Roman" w:eastAsia="Times New Roman" w:hAnsi="Times New Roman" w:cs="Times New Roman"/>
          <w:lang w:eastAsia="nl-NL"/>
        </w:rPr>
        <w:tab/>
      </w:r>
    </w:p>
    <w:p w14:paraId="05CC8FCA" w14:textId="6D5DEDBE" w:rsidR="00DA5A57" w:rsidRPr="00DA5A57" w:rsidRDefault="009E4A7C" w:rsidP="00DA5A57">
      <w:r>
        <w:rPr>
          <w:noProof/>
          <w:lang w:eastAsia="nl-NL"/>
        </w:rPr>
        <w:drawing>
          <wp:inline distT="0" distB="0" distL="0" distR="0" wp14:anchorId="1C603D1A" wp14:editId="40B3263C">
            <wp:extent cx="5750631" cy="1287145"/>
            <wp:effectExtent l="0" t="0" r="254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5750631" cy="1287145"/>
                    </a:xfrm>
                    <a:prstGeom prst="rect">
                      <a:avLst/>
                    </a:prstGeom>
                  </pic:spPr>
                </pic:pic>
              </a:graphicData>
            </a:graphic>
          </wp:inline>
        </w:drawing>
      </w:r>
    </w:p>
    <w:p w14:paraId="4776905A" w14:textId="77777777" w:rsidR="00556810" w:rsidRDefault="00556810" w:rsidP="00B143A5">
      <w:pPr>
        <w:spacing w:after="200" w:line="276" w:lineRule="auto"/>
        <w:rPr>
          <w:rFonts w:eastAsia="Calibri" w:cs="Arial"/>
          <w:sz w:val="22"/>
          <w:szCs w:val="20"/>
        </w:rPr>
      </w:pPr>
    </w:p>
    <w:p w14:paraId="7D0484F5" w14:textId="2A8CB020" w:rsidR="00556810" w:rsidRPr="00C3414A" w:rsidRDefault="00B143A5" w:rsidP="00B143A5">
      <w:pPr>
        <w:spacing w:after="200" w:line="276" w:lineRule="auto"/>
        <w:rPr>
          <w:rFonts w:eastAsia="Calibri" w:cs="Arial"/>
          <w:sz w:val="22"/>
          <w:szCs w:val="20"/>
        </w:rPr>
      </w:pPr>
      <w:r w:rsidRPr="00C3414A">
        <w:rPr>
          <w:rFonts w:eastAsia="Calibri" w:cs="Arial"/>
          <w:sz w:val="22"/>
          <w:szCs w:val="20"/>
        </w:rPr>
        <w:t>Geachte heer/mevrouw,</w:t>
      </w:r>
    </w:p>
    <w:p w14:paraId="316D93FB" w14:textId="25A26572" w:rsidR="00556810" w:rsidRDefault="00B143A5" w:rsidP="00406F2C">
      <w:pPr>
        <w:spacing w:after="200" w:line="276" w:lineRule="auto"/>
        <w:rPr>
          <w:rFonts w:eastAsia="Calibri" w:cs="Arial"/>
          <w:sz w:val="22"/>
          <w:szCs w:val="20"/>
        </w:rPr>
      </w:pPr>
      <w:r w:rsidRPr="00C3414A">
        <w:rPr>
          <w:rFonts w:eastAsia="Calibri" w:cs="Arial"/>
          <w:sz w:val="22"/>
          <w:szCs w:val="20"/>
        </w:rPr>
        <w:t xml:space="preserve">Een van uw werknemers, de heer/mevrouw </w:t>
      </w:r>
      <w:r w:rsidRPr="00C3414A">
        <w:rPr>
          <w:rFonts w:eastAsia="Calibri" w:cs="Arial"/>
          <w:sz w:val="22"/>
          <w:szCs w:val="20"/>
          <w:highlight w:val="yellow"/>
        </w:rPr>
        <w:t>[___]</w:t>
      </w:r>
      <w:r w:rsidRPr="00C3414A">
        <w:rPr>
          <w:rFonts w:eastAsia="Calibri" w:cs="Arial"/>
          <w:sz w:val="22"/>
          <w:szCs w:val="20"/>
        </w:rPr>
        <w:t xml:space="preserve"> ([</w:t>
      </w:r>
      <w:r w:rsidRPr="00C3414A">
        <w:rPr>
          <w:rFonts w:eastAsia="Calibri" w:cs="Arial"/>
          <w:i/>
          <w:iCs/>
          <w:sz w:val="22"/>
          <w:szCs w:val="20"/>
          <w:highlight w:val="yellow"/>
        </w:rPr>
        <w:t>geboortedatum</w:t>
      </w:r>
      <w:r w:rsidRPr="00C3414A">
        <w:rPr>
          <w:rFonts w:eastAsia="Calibri" w:cs="Arial"/>
          <w:sz w:val="22"/>
          <w:szCs w:val="20"/>
        </w:rPr>
        <w:t>]), heeft bij ons, de Stichting RVU voor het Motorvoertuigenbedrijf en het Tweewielerbedrijf (</w:t>
      </w:r>
      <w:r w:rsidRPr="00C3414A">
        <w:rPr>
          <w:rFonts w:eastAsia="Calibri" w:cs="Arial"/>
          <w:b/>
          <w:bCs/>
          <w:sz w:val="22"/>
          <w:szCs w:val="20"/>
        </w:rPr>
        <w:t>Stichting RVU</w:t>
      </w:r>
      <w:r w:rsidRPr="00C3414A">
        <w:rPr>
          <w:rFonts w:eastAsia="Calibri" w:cs="Arial"/>
          <w:sz w:val="22"/>
          <w:szCs w:val="20"/>
        </w:rPr>
        <w:t>) een aanvraag ingediend voor toekenning van een uitkering in het kader van de Regeling Vervroegd Uittreden Motorvoertuigenbedrijf en Tweewielerbedrijf (</w:t>
      </w:r>
      <w:r w:rsidRPr="00C3414A">
        <w:rPr>
          <w:rFonts w:eastAsia="Calibri" w:cs="Arial"/>
          <w:b/>
          <w:bCs/>
          <w:sz w:val="22"/>
          <w:szCs w:val="20"/>
        </w:rPr>
        <w:t>RVU</w:t>
      </w:r>
      <w:r w:rsidRPr="00C3414A">
        <w:rPr>
          <w:rFonts w:eastAsia="Calibri" w:cs="Arial"/>
          <w:sz w:val="22"/>
          <w:szCs w:val="20"/>
        </w:rPr>
        <w:t>) op grond van de cao Motorvoertuigenbedrijf en Tweewielerbedrijf Sociaal Fonds. De Stichting RVU heeft deze uitkering voorwaardelijk toegekend</w:t>
      </w:r>
      <w:r w:rsidR="00556810">
        <w:rPr>
          <w:rFonts w:eastAsia="Calibri" w:cs="Arial"/>
          <w:sz w:val="22"/>
          <w:szCs w:val="20"/>
        </w:rPr>
        <w:t>, de werknemer kan binnenkort de arbeidsovereenkomst opzeggen of heeft dit reeds gedaan.</w:t>
      </w:r>
    </w:p>
    <w:p w14:paraId="32008934" w14:textId="53D2CA17" w:rsidR="00406F2C" w:rsidRDefault="00B143A5" w:rsidP="00406F2C">
      <w:pPr>
        <w:spacing w:after="200" w:line="276" w:lineRule="auto"/>
        <w:rPr>
          <w:rFonts w:eastAsia="Calibri" w:cs="Arial"/>
          <w:sz w:val="22"/>
          <w:szCs w:val="20"/>
        </w:rPr>
      </w:pPr>
      <w:r w:rsidRPr="00C3414A">
        <w:rPr>
          <w:rFonts w:eastAsia="Calibri" w:cs="Arial"/>
          <w:sz w:val="22"/>
          <w:szCs w:val="20"/>
        </w:rPr>
        <w:t xml:space="preserve">In het kader van de definitieve toekenning van deze aanvraag </w:t>
      </w:r>
      <w:r w:rsidR="00406F2C">
        <w:rPr>
          <w:rFonts w:eastAsia="Calibri" w:cs="Arial"/>
          <w:sz w:val="22"/>
          <w:szCs w:val="20"/>
        </w:rPr>
        <w:t xml:space="preserve">vragen wij aandacht voor het volgende. Als er geen sprake is van een aanvullende ontslagvergoeding aan werknemer door de werkgever, of een door de werkgever aangewezen partij is deze brief enkel bedoeld ter informatie. Als werkgever hoeft u in dat geval niets te doen. </w:t>
      </w:r>
    </w:p>
    <w:p w14:paraId="4934CF8A" w14:textId="06551C3A" w:rsidR="009801DE" w:rsidRDefault="00406F2C" w:rsidP="00406F2C">
      <w:pPr>
        <w:spacing w:after="200" w:line="276" w:lineRule="auto"/>
        <w:rPr>
          <w:rFonts w:eastAsia="Calibri" w:cs="Arial"/>
          <w:sz w:val="22"/>
          <w:szCs w:val="20"/>
        </w:rPr>
      </w:pPr>
      <w:r>
        <w:rPr>
          <w:rFonts w:eastAsia="Calibri" w:cs="Arial"/>
          <w:sz w:val="22"/>
          <w:szCs w:val="20"/>
        </w:rPr>
        <w:t xml:space="preserve">Als er wel sprake is van een ontslagvergoeding aan werknemer of een andere vorm van aanvullende financiering door de werkgever of een door de werkgever aangewezen partij, </w:t>
      </w:r>
      <w:r w:rsidR="009801DE">
        <w:rPr>
          <w:rFonts w:eastAsia="Calibri" w:cs="Arial"/>
          <w:sz w:val="22"/>
          <w:szCs w:val="20"/>
        </w:rPr>
        <w:t>dan moeten w</w:t>
      </w:r>
      <w:r>
        <w:rPr>
          <w:rFonts w:eastAsia="Calibri" w:cs="Arial"/>
          <w:sz w:val="22"/>
          <w:szCs w:val="20"/>
        </w:rPr>
        <w:t xml:space="preserve">erkgever en werknemer </w:t>
      </w:r>
      <w:r w:rsidR="009801DE">
        <w:rPr>
          <w:rFonts w:eastAsia="Calibri" w:cs="Arial"/>
          <w:sz w:val="22"/>
          <w:szCs w:val="20"/>
        </w:rPr>
        <w:t xml:space="preserve">gezamenlijk </w:t>
      </w:r>
      <w:r>
        <w:rPr>
          <w:rFonts w:eastAsia="Calibri" w:cs="Arial"/>
          <w:sz w:val="22"/>
          <w:szCs w:val="20"/>
        </w:rPr>
        <w:t>een aanvullende bijlage ondertekenen</w:t>
      </w:r>
      <w:r w:rsidR="009801DE">
        <w:rPr>
          <w:rFonts w:eastAsia="Calibri" w:cs="Arial"/>
          <w:sz w:val="22"/>
          <w:szCs w:val="20"/>
        </w:rPr>
        <w:t xml:space="preserve">. </w:t>
      </w:r>
      <w:r>
        <w:rPr>
          <w:rFonts w:eastAsia="Calibri" w:cs="Arial"/>
          <w:sz w:val="22"/>
          <w:szCs w:val="20"/>
        </w:rPr>
        <w:t xml:space="preserve">Deze </w:t>
      </w:r>
      <w:r w:rsidR="009801DE">
        <w:rPr>
          <w:rFonts w:eastAsia="Calibri" w:cs="Arial"/>
          <w:sz w:val="22"/>
          <w:szCs w:val="20"/>
        </w:rPr>
        <w:t xml:space="preserve">bijlage </w:t>
      </w:r>
      <w:r>
        <w:rPr>
          <w:rFonts w:eastAsia="Calibri" w:cs="Arial"/>
          <w:sz w:val="22"/>
          <w:szCs w:val="20"/>
        </w:rPr>
        <w:t>kunt u vinden op</w:t>
      </w:r>
      <w:r w:rsidR="009801DE">
        <w:rPr>
          <w:rFonts w:eastAsia="Calibri" w:cs="Arial"/>
          <w:sz w:val="22"/>
          <w:szCs w:val="20"/>
        </w:rPr>
        <w:t xml:space="preserve"> </w:t>
      </w:r>
      <w:hyperlink r:id="rId8" w:history="1">
        <w:r w:rsidR="009801DE" w:rsidRPr="00D91F6E">
          <w:rPr>
            <w:rStyle w:val="Hyperlink"/>
            <w:rFonts w:eastAsia="Calibri" w:cs="Arial"/>
            <w:sz w:val="22"/>
            <w:szCs w:val="20"/>
          </w:rPr>
          <w:t>www.mvtrvu.nl/werkgeversverklaring</w:t>
        </w:r>
      </w:hyperlink>
      <w:r>
        <w:rPr>
          <w:rFonts w:eastAsia="Calibri" w:cs="Arial"/>
          <w:sz w:val="22"/>
          <w:szCs w:val="20"/>
        </w:rPr>
        <w:t>.</w:t>
      </w:r>
      <w:r w:rsidR="009801DE">
        <w:rPr>
          <w:rFonts w:eastAsia="Calibri" w:cs="Arial"/>
          <w:sz w:val="22"/>
          <w:szCs w:val="20"/>
        </w:rPr>
        <w:br/>
        <w:t>De werknemer dient de ondertekende bijlage  aan de stichting RVU toe te sturen.</w:t>
      </w:r>
    </w:p>
    <w:p w14:paraId="6289D750" w14:textId="472E91C6" w:rsidR="00B143A5" w:rsidRPr="00406F2C" w:rsidRDefault="00406F2C" w:rsidP="00406F2C">
      <w:pPr>
        <w:spacing w:after="200" w:line="276" w:lineRule="auto"/>
        <w:rPr>
          <w:rFonts w:eastAsia="Calibri" w:cs="Arial"/>
          <w:sz w:val="22"/>
          <w:szCs w:val="20"/>
          <w:u w:val="single"/>
        </w:rPr>
      </w:pPr>
      <w:r w:rsidRPr="00556810">
        <w:rPr>
          <w:rFonts w:eastAsia="Calibri" w:cs="Arial"/>
          <w:b/>
          <w:i/>
          <w:sz w:val="22"/>
          <w:szCs w:val="20"/>
        </w:rPr>
        <w:t>Achtergrondinformatie fiscale gevolgen</w:t>
      </w:r>
      <w:r>
        <w:rPr>
          <w:rFonts w:eastAsia="Calibri" w:cs="Arial"/>
          <w:sz w:val="22"/>
          <w:szCs w:val="20"/>
          <w:u w:val="single"/>
        </w:rPr>
        <w:t xml:space="preserve"> </w:t>
      </w:r>
      <w:r>
        <w:rPr>
          <w:rFonts w:eastAsia="Calibri" w:cs="Arial"/>
          <w:sz w:val="22"/>
          <w:szCs w:val="20"/>
          <w:u w:val="single"/>
        </w:rPr>
        <w:br/>
      </w:r>
      <w:r>
        <w:rPr>
          <w:rFonts w:eastAsia="Calibri" w:cs="Arial"/>
          <w:sz w:val="22"/>
          <w:szCs w:val="20"/>
        </w:rPr>
        <w:t>Een financiële aanvulling</w:t>
      </w:r>
      <w:r w:rsidR="00B143A5" w:rsidRPr="00C3414A">
        <w:rPr>
          <w:rFonts w:eastAsia="Calibri" w:cs="Arial"/>
          <w:sz w:val="22"/>
          <w:szCs w:val="20"/>
        </w:rPr>
        <w:t xml:space="preserve"> </w:t>
      </w:r>
      <w:r>
        <w:rPr>
          <w:rFonts w:eastAsia="Calibri" w:cs="Arial"/>
          <w:sz w:val="22"/>
          <w:szCs w:val="20"/>
        </w:rPr>
        <w:t>op de RVU</w:t>
      </w:r>
      <w:r w:rsidR="00B143A5" w:rsidRPr="00C3414A">
        <w:rPr>
          <w:rFonts w:eastAsia="Calibri" w:cs="Arial"/>
          <w:sz w:val="22"/>
          <w:szCs w:val="20"/>
        </w:rPr>
        <w:t xml:space="preserve"> </w:t>
      </w:r>
      <w:r>
        <w:rPr>
          <w:rFonts w:eastAsia="Calibri" w:cs="Arial"/>
          <w:sz w:val="22"/>
          <w:szCs w:val="20"/>
        </w:rPr>
        <w:t xml:space="preserve">kwalificeert </w:t>
      </w:r>
      <w:r w:rsidR="00B143A5" w:rsidRPr="00C3414A">
        <w:rPr>
          <w:rFonts w:eastAsia="Calibri" w:cs="Arial"/>
          <w:sz w:val="22"/>
          <w:szCs w:val="20"/>
        </w:rPr>
        <w:t>in beginsel als een regeling vervroegde uittreding in de zin van artikel 32ba Wet op de loonbelasting 1964</w:t>
      </w:r>
      <w:r>
        <w:rPr>
          <w:rFonts w:eastAsia="Calibri" w:cs="Arial"/>
          <w:sz w:val="22"/>
          <w:szCs w:val="20"/>
        </w:rPr>
        <w:t>. A</w:t>
      </w:r>
      <w:r w:rsidR="00B143A5" w:rsidRPr="00C3414A">
        <w:rPr>
          <w:rFonts w:eastAsia="Calibri" w:cs="Arial"/>
          <w:sz w:val="22"/>
          <w:szCs w:val="20"/>
        </w:rPr>
        <w:t>ls gevolg</w:t>
      </w:r>
      <w:r>
        <w:rPr>
          <w:rFonts w:eastAsia="Calibri" w:cs="Arial"/>
          <w:sz w:val="22"/>
          <w:szCs w:val="20"/>
        </w:rPr>
        <w:t xml:space="preserve"> hiervan is</w:t>
      </w:r>
      <w:r w:rsidR="00B143A5" w:rsidRPr="00C3414A">
        <w:rPr>
          <w:rFonts w:eastAsia="Calibri" w:cs="Arial"/>
          <w:sz w:val="22"/>
          <w:szCs w:val="20"/>
        </w:rPr>
        <w:t xml:space="preserve"> over deze </w:t>
      </w:r>
      <w:r>
        <w:rPr>
          <w:rFonts w:eastAsia="Calibri" w:cs="Arial"/>
          <w:sz w:val="22"/>
          <w:szCs w:val="20"/>
        </w:rPr>
        <w:t xml:space="preserve">aanvulling </w:t>
      </w:r>
      <w:r w:rsidR="00B143A5" w:rsidRPr="00C3414A">
        <w:rPr>
          <w:rFonts w:eastAsia="Calibri" w:cs="Arial"/>
          <w:sz w:val="22"/>
          <w:szCs w:val="20"/>
        </w:rPr>
        <w:t>een</w:t>
      </w:r>
      <w:r>
        <w:rPr>
          <w:rFonts w:eastAsia="Calibri" w:cs="Arial"/>
          <w:sz w:val="22"/>
          <w:szCs w:val="20"/>
        </w:rPr>
        <w:t xml:space="preserve"> pseudo-eindheffing verschuldigd</w:t>
      </w:r>
      <w:r w:rsidR="00B143A5" w:rsidRPr="00C3414A">
        <w:rPr>
          <w:rFonts w:eastAsia="Calibri" w:cs="Arial"/>
          <w:sz w:val="22"/>
          <w:szCs w:val="20"/>
        </w:rPr>
        <w:t xml:space="preserve"> van 52%.</w:t>
      </w:r>
      <w:r w:rsidR="00B03596">
        <w:rPr>
          <w:rFonts w:eastAsia="Calibri" w:cs="Arial"/>
          <w:sz w:val="22"/>
          <w:szCs w:val="20"/>
        </w:rPr>
        <w:br/>
      </w:r>
      <w:r w:rsidR="00B03596" w:rsidRPr="00B03596">
        <w:rPr>
          <w:rFonts w:eastAsia="Calibri" w:cs="Arial"/>
          <w:b/>
          <w:sz w:val="22"/>
          <w:szCs w:val="20"/>
        </w:rPr>
        <w:t>Uitzondering</w:t>
      </w:r>
      <w:r w:rsidR="00B03596">
        <w:rPr>
          <w:rFonts w:eastAsia="Calibri" w:cs="Arial"/>
          <w:sz w:val="22"/>
          <w:szCs w:val="20"/>
        </w:rPr>
        <w:t xml:space="preserve">: Bij een </w:t>
      </w:r>
      <w:r w:rsidR="00B03596" w:rsidRPr="00406F2C">
        <w:rPr>
          <w:rFonts w:eastAsia="Calibri" w:cs="Arial"/>
          <w:b/>
          <w:sz w:val="22"/>
          <w:szCs w:val="20"/>
          <w:u w:val="single"/>
        </w:rPr>
        <w:t>parttimer</w:t>
      </w:r>
      <w:r w:rsidR="00B03596">
        <w:rPr>
          <w:rFonts w:eastAsia="Calibri" w:cs="Arial"/>
          <w:sz w:val="22"/>
          <w:szCs w:val="20"/>
        </w:rPr>
        <w:t xml:space="preserve"> mag de werkgever een vergoeding meegeven, mits dit bedrag plus de RVU-uitkering naar rato, in totaal onder de grens blijft van</w:t>
      </w:r>
      <w:r w:rsidR="00B03596" w:rsidRPr="00B03596">
        <w:rPr>
          <w:rFonts w:eastAsia="Calibri" w:cs="Arial"/>
          <w:sz w:val="22"/>
          <w:szCs w:val="20"/>
        </w:rPr>
        <w:t xml:space="preserve"> de fiscale drempelvrijstelling van 1847 euro bruto</w:t>
      </w:r>
      <w:r w:rsidR="00B03596">
        <w:rPr>
          <w:rFonts w:eastAsia="Calibri" w:cs="Arial"/>
          <w:sz w:val="22"/>
          <w:szCs w:val="20"/>
        </w:rPr>
        <w:t xml:space="preserve"> per maand</w:t>
      </w:r>
      <w:r w:rsidR="00B03596" w:rsidRPr="00B03596">
        <w:rPr>
          <w:rFonts w:eastAsia="Calibri" w:cs="Arial"/>
          <w:sz w:val="22"/>
          <w:szCs w:val="20"/>
        </w:rPr>
        <w:t xml:space="preserve"> (2021)</w:t>
      </w:r>
      <w:r w:rsidR="00B03596">
        <w:rPr>
          <w:rFonts w:eastAsia="Calibri" w:cs="Arial"/>
          <w:sz w:val="22"/>
          <w:szCs w:val="20"/>
        </w:rPr>
        <w:t>.</w:t>
      </w:r>
    </w:p>
    <w:p w14:paraId="5D15F80B" w14:textId="3F39473E" w:rsidR="00B143A5" w:rsidRPr="00C3414A" w:rsidRDefault="00B143A5" w:rsidP="00406F2C">
      <w:pPr>
        <w:spacing w:after="200" w:line="276" w:lineRule="auto"/>
        <w:rPr>
          <w:rFonts w:eastAsia="Calibri" w:cs="Arial"/>
          <w:sz w:val="22"/>
          <w:szCs w:val="20"/>
        </w:rPr>
      </w:pPr>
      <w:r w:rsidRPr="00C3414A">
        <w:rPr>
          <w:rFonts w:eastAsia="Calibri" w:cs="Arial"/>
          <w:sz w:val="22"/>
          <w:szCs w:val="20"/>
        </w:rPr>
        <w:t>De eindheffing</w:t>
      </w:r>
      <w:r w:rsidR="00EC79F7">
        <w:rPr>
          <w:rFonts w:eastAsia="Calibri" w:cs="Arial"/>
          <w:sz w:val="22"/>
          <w:szCs w:val="20"/>
        </w:rPr>
        <w:t xml:space="preserve"> van 52%</w:t>
      </w:r>
      <w:r w:rsidRPr="00C3414A">
        <w:rPr>
          <w:rFonts w:eastAsia="Calibri" w:cs="Arial"/>
          <w:sz w:val="22"/>
          <w:szCs w:val="20"/>
        </w:rPr>
        <w:t xml:space="preserve"> </w:t>
      </w:r>
      <w:r w:rsidR="00020E45" w:rsidRPr="00C3414A">
        <w:rPr>
          <w:rFonts w:eastAsia="Calibri" w:cs="Arial"/>
          <w:sz w:val="22"/>
          <w:szCs w:val="20"/>
        </w:rPr>
        <w:t>dient</w:t>
      </w:r>
      <w:r w:rsidRPr="00C3414A">
        <w:rPr>
          <w:rFonts w:eastAsia="Calibri" w:cs="Arial"/>
          <w:sz w:val="22"/>
          <w:szCs w:val="20"/>
        </w:rPr>
        <w:t xml:space="preserve"> geheel voor rekening van werkgever</w:t>
      </w:r>
      <w:r w:rsidR="00020E45" w:rsidRPr="00C3414A">
        <w:rPr>
          <w:rFonts w:eastAsia="Calibri" w:cs="Arial"/>
          <w:sz w:val="22"/>
          <w:szCs w:val="20"/>
        </w:rPr>
        <w:t xml:space="preserve"> te komen</w:t>
      </w:r>
      <w:r w:rsidRPr="00C3414A">
        <w:rPr>
          <w:rFonts w:eastAsia="Calibri" w:cs="Arial"/>
          <w:sz w:val="22"/>
          <w:szCs w:val="20"/>
        </w:rPr>
        <w:t>. Voor zover de eindheffing door de Belastingdienst wordt verhaald op de Stichting RVU zal de Stichting RVU deze eindheffing verhalen op de werkgever.</w:t>
      </w:r>
      <w:r w:rsidR="00C95A4F" w:rsidRPr="00C3414A">
        <w:rPr>
          <w:rFonts w:eastAsia="Calibri" w:cs="Arial"/>
          <w:sz w:val="22"/>
          <w:szCs w:val="20"/>
        </w:rPr>
        <w:t xml:space="preserve"> De aanvraag van werknemer voor de RVU kan eerst verder in behandeling worden genomen als de </w:t>
      </w:r>
      <w:r w:rsidR="00020E45" w:rsidRPr="00C3414A">
        <w:rPr>
          <w:rFonts w:eastAsia="Calibri" w:cs="Arial"/>
          <w:sz w:val="22"/>
          <w:szCs w:val="20"/>
        </w:rPr>
        <w:t>Stichting RVU met u afspraken heeft gemaakt.</w:t>
      </w:r>
      <w:r w:rsidR="00C3414A">
        <w:rPr>
          <w:rFonts w:eastAsia="Calibri" w:cs="Arial"/>
          <w:sz w:val="22"/>
          <w:szCs w:val="20"/>
        </w:rPr>
        <w:t xml:space="preserve"> </w:t>
      </w:r>
      <w:r w:rsidRPr="00C3414A">
        <w:rPr>
          <w:rFonts w:eastAsia="Calibri" w:cs="Arial"/>
          <w:sz w:val="22"/>
          <w:szCs w:val="20"/>
        </w:rPr>
        <w:t xml:space="preserve"> </w:t>
      </w:r>
    </w:p>
    <w:p w14:paraId="1A34D125" w14:textId="57703371" w:rsidR="009801DE" w:rsidRDefault="00B143A5" w:rsidP="009801DE">
      <w:pPr>
        <w:spacing w:after="200" w:line="276" w:lineRule="auto"/>
        <w:rPr>
          <w:rFonts w:eastAsia="Calibri" w:cs="Arial"/>
          <w:sz w:val="22"/>
          <w:szCs w:val="20"/>
        </w:rPr>
      </w:pPr>
      <w:r w:rsidRPr="00C3414A">
        <w:rPr>
          <w:rFonts w:eastAsia="Calibri" w:cs="Arial"/>
          <w:sz w:val="22"/>
          <w:szCs w:val="20"/>
        </w:rPr>
        <w:t>Voor een nadere toelichting op het begrip ‘regeling vervroegde uittreding’ verwijzen wij naar de Handreiking RVU van de Belastingdienst van</w:t>
      </w:r>
      <w:r w:rsidR="009801DE">
        <w:rPr>
          <w:rFonts w:eastAsia="Calibri" w:cs="Arial"/>
          <w:sz w:val="22"/>
          <w:szCs w:val="20"/>
        </w:rPr>
        <w:t xml:space="preserve"> 30 april 2021: (</w:t>
      </w:r>
      <w:hyperlink r:id="rId9" w:history="1">
        <w:r w:rsidR="009801DE" w:rsidRPr="00D91F6E">
          <w:rPr>
            <w:rStyle w:val="Hyperlink"/>
            <w:rFonts w:eastAsia="Calibri" w:cs="Arial"/>
            <w:sz w:val="22"/>
            <w:szCs w:val="20"/>
          </w:rPr>
          <w:t>https://centraalaanspreekpuntpensioenen.belastingdienst.nl/publicaties/handreiking-voor-de-interpretatie-van-het-begrip-regeling-voor-vervroegde-uittreding-als-bedoeld-in-artikel-32ba-van-de-wet-op-de-loonbelasting-1964-v210430/</w:t>
        </w:r>
      </w:hyperlink>
      <w:r w:rsidRPr="00C3414A">
        <w:rPr>
          <w:rFonts w:eastAsia="Calibri" w:cs="Arial"/>
          <w:sz w:val="22"/>
          <w:szCs w:val="20"/>
        </w:rPr>
        <w:t xml:space="preserve">). </w:t>
      </w:r>
    </w:p>
    <w:p w14:paraId="06726373" w14:textId="77777777" w:rsidR="00556810" w:rsidRPr="009801DE" w:rsidRDefault="00556810" w:rsidP="009801DE">
      <w:pPr>
        <w:spacing w:after="200" w:line="276" w:lineRule="auto"/>
        <w:rPr>
          <w:rFonts w:eastAsia="Calibri" w:cs="Arial"/>
          <w:sz w:val="22"/>
          <w:szCs w:val="20"/>
        </w:rPr>
      </w:pPr>
    </w:p>
    <w:p w14:paraId="47E95FFE" w14:textId="6090B985" w:rsidR="006A49C7" w:rsidRPr="009801DE" w:rsidRDefault="009801DE" w:rsidP="00C3414A">
      <w:pPr>
        <w:tabs>
          <w:tab w:val="left" w:pos="2280"/>
        </w:tabs>
        <w:rPr>
          <w:sz w:val="22"/>
          <w:szCs w:val="22"/>
        </w:rPr>
      </w:pPr>
      <w:r>
        <w:rPr>
          <w:sz w:val="22"/>
          <w:szCs w:val="22"/>
        </w:rPr>
        <w:t>Namens de stichting RVU</w:t>
      </w:r>
    </w:p>
    <w:sectPr w:rsidR="006A49C7" w:rsidRPr="009801DE" w:rsidSect="009E4A7C">
      <w:footerReference w:type="default" r:id="rId10"/>
      <w:pgSz w:w="11900" w:h="16840"/>
      <w:pgMar w:top="1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4352" w14:textId="77777777" w:rsidR="00CE5BA5" w:rsidRDefault="00CE5BA5" w:rsidP="00556810">
      <w:r>
        <w:separator/>
      </w:r>
    </w:p>
  </w:endnote>
  <w:endnote w:type="continuationSeparator" w:id="0">
    <w:p w14:paraId="5C4ACF14" w14:textId="77777777" w:rsidR="00CE5BA5" w:rsidRDefault="00CE5BA5" w:rsidP="0055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C9BE" w14:textId="5A87317B" w:rsidR="00556810" w:rsidRPr="00556810" w:rsidRDefault="00556810" w:rsidP="00556810">
    <w:pPr>
      <w:pStyle w:val="Voettekst"/>
      <w:jc w:val="center"/>
      <w:rPr>
        <w:sz w:val="18"/>
      </w:rPr>
    </w:pPr>
    <w:r w:rsidRPr="00556810">
      <w:rPr>
        <w:sz w:val="18"/>
      </w:rPr>
      <w:t>www.mvtrvu.nl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629F" w14:textId="77777777" w:rsidR="00CE5BA5" w:rsidRDefault="00CE5BA5" w:rsidP="00556810">
      <w:r>
        <w:separator/>
      </w:r>
    </w:p>
  </w:footnote>
  <w:footnote w:type="continuationSeparator" w:id="0">
    <w:p w14:paraId="1ACA0CC2" w14:textId="77777777" w:rsidR="00CE5BA5" w:rsidRDefault="00CE5BA5" w:rsidP="00556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AD5"/>
    <w:multiLevelType w:val="hybridMultilevel"/>
    <w:tmpl w:val="286CFB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035D64"/>
    <w:multiLevelType w:val="hybridMultilevel"/>
    <w:tmpl w:val="FC06301A"/>
    <w:lvl w:ilvl="0" w:tplc="9DBE15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6134214">
    <w:abstractNumId w:val="1"/>
  </w:num>
  <w:num w:numId="2" w16cid:durableId="209658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7C"/>
    <w:rsid w:val="00020E45"/>
    <w:rsid w:val="002E4C65"/>
    <w:rsid w:val="0036584E"/>
    <w:rsid w:val="00406F2C"/>
    <w:rsid w:val="00556810"/>
    <w:rsid w:val="009801DE"/>
    <w:rsid w:val="009C736C"/>
    <w:rsid w:val="009E4A7C"/>
    <w:rsid w:val="009F5D59"/>
    <w:rsid w:val="00B03596"/>
    <w:rsid w:val="00B143A5"/>
    <w:rsid w:val="00C3414A"/>
    <w:rsid w:val="00C6511A"/>
    <w:rsid w:val="00C95A4F"/>
    <w:rsid w:val="00CE5BA5"/>
    <w:rsid w:val="00D33E4E"/>
    <w:rsid w:val="00D863B8"/>
    <w:rsid w:val="00DA5A57"/>
    <w:rsid w:val="00DB5CC3"/>
    <w:rsid w:val="00EC79F7"/>
    <w:rsid w:val="00ED4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6B986"/>
  <w15:chartTrackingRefBased/>
  <w15:docId w15:val="{D09A80EE-05DA-6041-A078-129B2D81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0E45"/>
    <w:pPr>
      <w:ind w:left="720"/>
      <w:contextualSpacing/>
    </w:pPr>
  </w:style>
  <w:style w:type="character" w:styleId="Hyperlink">
    <w:name w:val="Hyperlink"/>
    <w:basedOn w:val="Standaardalinea-lettertype"/>
    <w:uiPriority w:val="99"/>
    <w:unhideWhenUsed/>
    <w:rsid w:val="00406F2C"/>
    <w:rPr>
      <w:color w:val="0563C1" w:themeColor="hyperlink"/>
      <w:u w:val="single"/>
    </w:rPr>
  </w:style>
  <w:style w:type="character" w:styleId="GevolgdeHyperlink">
    <w:name w:val="FollowedHyperlink"/>
    <w:basedOn w:val="Standaardalinea-lettertype"/>
    <w:uiPriority w:val="99"/>
    <w:semiHidden/>
    <w:unhideWhenUsed/>
    <w:rsid w:val="00406F2C"/>
    <w:rPr>
      <w:color w:val="954F72" w:themeColor="followedHyperlink"/>
      <w:u w:val="single"/>
    </w:rPr>
  </w:style>
  <w:style w:type="paragraph" w:styleId="Koptekst">
    <w:name w:val="header"/>
    <w:basedOn w:val="Standaard"/>
    <w:link w:val="KoptekstChar"/>
    <w:uiPriority w:val="99"/>
    <w:unhideWhenUsed/>
    <w:rsid w:val="00556810"/>
    <w:pPr>
      <w:tabs>
        <w:tab w:val="center" w:pos="4536"/>
        <w:tab w:val="right" w:pos="9072"/>
      </w:tabs>
    </w:pPr>
  </w:style>
  <w:style w:type="character" w:customStyle="1" w:styleId="KoptekstChar">
    <w:name w:val="Koptekst Char"/>
    <w:basedOn w:val="Standaardalinea-lettertype"/>
    <w:link w:val="Koptekst"/>
    <w:uiPriority w:val="99"/>
    <w:rsid w:val="00556810"/>
  </w:style>
  <w:style w:type="paragraph" w:styleId="Voettekst">
    <w:name w:val="footer"/>
    <w:basedOn w:val="Standaard"/>
    <w:link w:val="VoettekstChar"/>
    <w:uiPriority w:val="99"/>
    <w:unhideWhenUsed/>
    <w:rsid w:val="00556810"/>
    <w:pPr>
      <w:tabs>
        <w:tab w:val="center" w:pos="4536"/>
        <w:tab w:val="right" w:pos="9072"/>
      </w:tabs>
    </w:pPr>
  </w:style>
  <w:style w:type="character" w:customStyle="1" w:styleId="VoettekstChar">
    <w:name w:val="Voettekst Char"/>
    <w:basedOn w:val="Standaardalinea-lettertype"/>
    <w:link w:val="Voettekst"/>
    <w:uiPriority w:val="99"/>
    <w:rsid w:val="0055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251">
      <w:bodyDiv w:val="1"/>
      <w:marLeft w:val="0"/>
      <w:marRight w:val="0"/>
      <w:marTop w:val="0"/>
      <w:marBottom w:val="0"/>
      <w:divBdr>
        <w:top w:val="none" w:sz="0" w:space="0" w:color="auto"/>
        <w:left w:val="none" w:sz="0" w:space="0" w:color="auto"/>
        <w:bottom w:val="none" w:sz="0" w:space="0" w:color="auto"/>
        <w:right w:val="none" w:sz="0" w:space="0" w:color="auto"/>
      </w:divBdr>
    </w:div>
    <w:div w:id="1345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trvu.nl/werkgeversverkl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ntraalaanspreekpuntpensioenen.belastingdienst.nl/publicaties/handreiking-voor-de-interpretatie-van-het-begrip-regeling-voor-vervroegde-uittreding-als-bedoeld-in-artikel-32ba-van-de-wet-op-de-loonbelasting-1964-v21043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Hiep</dc:creator>
  <cp:keywords/>
  <dc:description/>
  <cp:lastModifiedBy>Marc van Gils</cp:lastModifiedBy>
  <cp:revision>2</cp:revision>
  <dcterms:created xsi:type="dcterms:W3CDTF">2022-06-28T14:24:00Z</dcterms:created>
  <dcterms:modified xsi:type="dcterms:W3CDTF">2022-06-28T14:24:00Z</dcterms:modified>
</cp:coreProperties>
</file>